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085A" w14:textId="03DC80B6" w:rsidR="00FA64E2" w:rsidRPr="00DA564F" w:rsidRDefault="00FA64E2" w:rsidP="00FA64E2">
      <w:pPr>
        <w:spacing w:line="278" w:lineRule="auto"/>
        <w:ind w:firstLine="567"/>
        <w:jc w:val="both"/>
        <w:rPr>
          <w:b/>
          <w:bCs/>
          <w:i/>
          <w:iCs/>
          <w:sz w:val="26"/>
          <w:szCs w:val="26"/>
          <w:lang w:val="sv-SE"/>
        </w:rPr>
      </w:pPr>
      <w:r w:rsidRPr="00DA564F">
        <w:rPr>
          <w:b/>
          <w:bCs/>
          <w:i/>
          <w:iCs/>
          <w:sz w:val="26"/>
          <w:szCs w:val="26"/>
          <w:lang w:val="sv-SE"/>
        </w:rPr>
        <w:t>2</w:t>
      </w:r>
      <w:r>
        <w:rPr>
          <w:b/>
          <w:bCs/>
          <w:i/>
          <w:iCs/>
          <w:sz w:val="26"/>
          <w:szCs w:val="26"/>
          <w:lang w:val="sv-SE"/>
        </w:rPr>
        <w:t>.</w:t>
      </w:r>
      <w:r w:rsidRPr="00DA564F">
        <w:rPr>
          <w:b/>
          <w:bCs/>
          <w:i/>
          <w:iCs/>
          <w:sz w:val="26"/>
          <w:szCs w:val="26"/>
          <w:lang w:val="sv-SE"/>
        </w:rPr>
        <w:t xml:space="preserve"> Phương thức 2: Xét tuyển dựa trên năng lực học tập THPT</w:t>
      </w:r>
    </w:p>
    <w:p w14:paraId="29614FEB" w14:textId="4274C0C0" w:rsidR="00FA64E2" w:rsidRPr="00724AE9" w:rsidRDefault="00FA64E2" w:rsidP="00FA64E2">
      <w:pPr>
        <w:spacing w:line="278" w:lineRule="auto"/>
        <w:ind w:firstLine="567"/>
        <w:jc w:val="both"/>
        <w:rPr>
          <w:spacing w:val="-6"/>
          <w:sz w:val="26"/>
          <w:szCs w:val="26"/>
          <w:lang w:val="sv-SE"/>
        </w:rPr>
      </w:pPr>
      <w:r w:rsidRPr="00724AE9">
        <w:rPr>
          <w:i/>
          <w:iCs/>
          <w:spacing w:val="-6"/>
          <w:sz w:val="26"/>
          <w:szCs w:val="26"/>
          <w:lang w:val="sv-SE"/>
        </w:rPr>
        <w:t xml:space="preserve">2.1 Tiêu chí xét tuyển: </w:t>
      </w:r>
      <w:r w:rsidRPr="00724AE9">
        <w:rPr>
          <w:spacing w:val="-6"/>
          <w:sz w:val="26"/>
          <w:szCs w:val="26"/>
          <w:lang w:val="sv-SE"/>
        </w:rPr>
        <w:t>Dựa trên năng lực học tập của thí sinh căn cứ vào kết quả học tập các môn học trong quá trình học THPT và kết quả các kỳ thi chọn học sinh giỏi các cấp.</w:t>
      </w:r>
    </w:p>
    <w:p w14:paraId="1543C171" w14:textId="454FC0A6" w:rsidR="00FA64E2" w:rsidRPr="00DA564F" w:rsidRDefault="00FA64E2" w:rsidP="00FA64E2">
      <w:pPr>
        <w:spacing w:line="278" w:lineRule="auto"/>
        <w:ind w:firstLine="567"/>
        <w:jc w:val="both"/>
        <w:rPr>
          <w:sz w:val="26"/>
          <w:szCs w:val="26"/>
          <w:lang w:val="vi-VN"/>
        </w:rPr>
      </w:pPr>
      <w:r w:rsidRPr="00724AE9">
        <w:rPr>
          <w:i/>
          <w:iCs/>
          <w:sz w:val="26"/>
          <w:szCs w:val="26"/>
          <w:lang w:val="sv-SE"/>
        </w:rPr>
        <w:t>2.2 Điều kiện nộp hồ sơ xét tuyển:</w:t>
      </w:r>
      <w:r w:rsidRPr="00724AE9">
        <w:rPr>
          <w:sz w:val="26"/>
          <w:szCs w:val="26"/>
          <w:lang w:val="sv-SE"/>
        </w:rPr>
        <w:t xml:space="preserve"> Thí sinh</w:t>
      </w:r>
      <w:r w:rsidRPr="00DA564F">
        <w:rPr>
          <w:sz w:val="26"/>
          <w:szCs w:val="26"/>
          <w:lang w:val="vi-VN"/>
        </w:rPr>
        <w:t xml:space="preserve"> tốt nghiệp THPT năm 2025 hoặc năm 2024,</w:t>
      </w:r>
      <w:r w:rsidRPr="00724AE9">
        <w:rPr>
          <w:sz w:val="26"/>
          <w:szCs w:val="26"/>
          <w:lang w:val="sv-SE"/>
        </w:rPr>
        <w:t xml:space="preserve"> có điểm trung bình cộng 03 năm học (năm học lớp 10, lớp 11 và lớp 12) của từng môn học thuộc tổ hợp của ngành đăng ký xét tuyển</w:t>
      </w:r>
      <w:r w:rsidRPr="00DA564F">
        <w:rPr>
          <w:rStyle w:val="FootnoteReference"/>
          <w:sz w:val="26"/>
          <w:szCs w:val="26"/>
        </w:rPr>
        <w:footnoteReference w:id="1"/>
      </w:r>
      <w:r w:rsidRPr="00724AE9">
        <w:rPr>
          <w:sz w:val="26"/>
          <w:szCs w:val="26"/>
          <w:lang w:val="sv-SE"/>
        </w:rPr>
        <w:t xml:space="preserve"> đạt từ 7,0 trở lên.</w:t>
      </w:r>
      <w:r w:rsidRPr="00DA564F">
        <w:rPr>
          <w:sz w:val="26"/>
          <w:szCs w:val="26"/>
          <w:lang w:val="vi-VN"/>
        </w:rPr>
        <w:t xml:space="preserve"> </w:t>
      </w:r>
    </w:p>
    <w:p w14:paraId="6360C212" w14:textId="1F0E201D" w:rsidR="00FA64E2" w:rsidRPr="00724AE9" w:rsidRDefault="00FA64E2" w:rsidP="00FA64E2">
      <w:pPr>
        <w:spacing w:line="278" w:lineRule="auto"/>
        <w:ind w:firstLine="567"/>
        <w:jc w:val="both"/>
        <w:rPr>
          <w:i/>
          <w:iCs/>
          <w:color w:val="000000" w:themeColor="text1"/>
          <w:sz w:val="26"/>
          <w:szCs w:val="26"/>
          <w:lang w:val="vi-VN"/>
        </w:rPr>
      </w:pPr>
      <w:r w:rsidRPr="00724AE9">
        <w:rPr>
          <w:i/>
          <w:iCs/>
          <w:color w:val="000000" w:themeColor="text1"/>
          <w:sz w:val="26"/>
          <w:szCs w:val="26"/>
          <w:lang w:val="vi-VN"/>
        </w:rPr>
        <w:t>2.3 Cách tính điểm xét tuyển:</w:t>
      </w:r>
    </w:p>
    <w:p w14:paraId="12022B52" w14:textId="77777777" w:rsidR="00FA64E2" w:rsidRPr="00724AE9" w:rsidRDefault="00FA64E2" w:rsidP="00FA64E2">
      <w:pPr>
        <w:spacing w:line="278" w:lineRule="auto"/>
        <w:ind w:firstLine="426"/>
        <w:jc w:val="both"/>
        <w:rPr>
          <w:color w:val="000000" w:themeColor="text1"/>
          <w:sz w:val="26"/>
          <w:szCs w:val="26"/>
          <w:lang w:val="vi-VN"/>
        </w:rPr>
      </w:pPr>
      <w:r w:rsidRPr="00724AE9">
        <w:rPr>
          <w:color w:val="000000" w:themeColor="text1"/>
          <w:sz w:val="26"/>
          <w:szCs w:val="26"/>
          <w:lang w:val="vi-VN"/>
        </w:rPr>
        <w:t>- Điểm xét tuyển được tính trên thang 40 và quy đổi về thang 30, trong đó nhân đôi điểm đối với môn chung, cụ thể như sau:</w:t>
      </w:r>
    </w:p>
    <w:p w14:paraId="7844A926" w14:textId="77777777" w:rsidR="00FA64E2" w:rsidRPr="00DA564F" w:rsidRDefault="00FA64E2" w:rsidP="00FA64E2">
      <w:pPr>
        <w:spacing w:line="278" w:lineRule="auto"/>
        <w:jc w:val="both"/>
        <w:rPr>
          <w:color w:val="000000" w:themeColor="text1"/>
          <w:sz w:val="26"/>
          <w:szCs w:val="26"/>
          <w:lang w:val="vi-VN"/>
        </w:rPr>
      </w:pPr>
      <w:r w:rsidRPr="00724AE9">
        <w:rPr>
          <w:color w:val="000000" w:themeColor="text1"/>
          <w:sz w:val="26"/>
          <w:szCs w:val="26"/>
          <w:lang w:val="vi-VN"/>
        </w:rPr>
        <w:t xml:space="preserve">Điểm xét =  </w:t>
      </w:r>
      <m:oMath>
        <m:f>
          <m:fPr>
            <m:ctrlPr>
              <w:rPr>
                <w:rFonts w:ascii="Cambria Math" w:hAnsi="Cambria Math"/>
                <w:color w:val="000000" w:themeColor="text1"/>
                <w:spacing w:val="-10"/>
                <w:sz w:val="32"/>
                <w:szCs w:val="32"/>
              </w:rPr>
            </m:ctrlPr>
          </m:fPr>
          <m:num>
            <m:d>
              <m:dPr>
                <m:ctrlPr>
                  <w:rPr>
                    <w:rFonts w:ascii="Cambria Math" w:hAnsi="Cambria Math"/>
                    <w:color w:val="000000" w:themeColor="text1"/>
                    <w:sz w:val="32"/>
                    <w:szCs w:val="32"/>
                  </w:rPr>
                </m:ctrlPr>
              </m:dPr>
              <m:e>
                <m:r>
                  <m:rPr>
                    <m:sty m:val="p"/>
                  </m:rPr>
                  <w:rPr>
                    <w:rFonts w:ascii="Cambria Math" w:hAnsi="Cambria Math"/>
                    <w:color w:val="000000" w:themeColor="text1"/>
                    <w:sz w:val="32"/>
                    <w:szCs w:val="32"/>
                    <w:lang w:val="vi-VN"/>
                  </w:rPr>
                  <m:t>M1  × 2 + M2 + M3</m:t>
                </m:r>
              </m:e>
            </m:d>
            <m:r>
              <m:rPr>
                <m:sty m:val="p"/>
              </m:rPr>
              <w:rPr>
                <w:rFonts w:ascii="Cambria Math" w:hAnsi="Cambria Math"/>
                <w:color w:val="000000" w:themeColor="text1"/>
                <w:sz w:val="32"/>
                <w:szCs w:val="32"/>
                <w:lang w:val="vi-VN"/>
              </w:rPr>
              <m:t xml:space="preserve"> × 3</m:t>
            </m:r>
          </m:num>
          <m:den>
            <m:r>
              <m:rPr>
                <m:sty m:val="p"/>
              </m:rPr>
              <w:rPr>
                <w:rFonts w:ascii="Cambria Math" w:hAnsi="Cambria Math"/>
                <w:color w:val="000000" w:themeColor="text1"/>
                <w:spacing w:val="-10"/>
                <w:sz w:val="32"/>
                <w:szCs w:val="32"/>
                <w:lang w:val="vi-VN"/>
              </w:rPr>
              <m:t>4</m:t>
            </m:r>
          </m:den>
        </m:f>
        <m:r>
          <m:rPr>
            <m:sty m:val="p"/>
          </m:rPr>
          <w:rPr>
            <w:rFonts w:ascii="Cambria Math" w:hAnsi="Cambria Math"/>
            <w:color w:val="000000" w:themeColor="text1"/>
            <w:spacing w:val="-10"/>
            <w:sz w:val="26"/>
            <w:szCs w:val="26"/>
            <w:lang w:val="vi-VN"/>
          </w:rPr>
          <m:t xml:space="preserve"> </m:t>
        </m:r>
      </m:oMath>
      <w:r w:rsidRPr="00724AE9">
        <w:rPr>
          <w:color w:val="000000" w:themeColor="text1"/>
          <w:spacing w:val="-10"/>
          <w:sz w:val="26"/>
          <w:szCs w:val="26"/>
          <w:lang w:val="vi-VN"/>
        </w:rPr>
        <w:t xml:space="preserve"> </w:t>
      </w:r>
      <w:r w:rsidRPr="00724AE9">
        <w:rPr>
          <w:color w:val="000000" w:themeColor="text1"/>
          <w:sz w:val="26"/>
          <w:szCs w:val="26"/>
          <w:lang w:val="vi-VN"/>
        </w:rPr>
        <w:t>+ Điểm cộng khuyến khích + Điểm ưu tiên</w:t>
      </w:r>
    </w:p>
    <w:p w14:paraId="7D1A1821" w14:textId="77777777" w:rsidR="00FA64E2" w:rsidRPr="00724AE9" w:rsidRDefault="00FA64E2" w:rsidP="00FA64E2">
      <w:pPr>
        <w:spacing w:line="278" w:lineRule="auto"/>
        <w:ind w:firstLine="426"/>
        <w:jc w:val="both"/>
        <w:rPr>
          <w:color w:val="000000" w:themeColor="text1"/>
          <w:sz w:val="26"/>
          <w:szCs w:val="26"/>
          <w:lang w:val="vi-VN"/>
        </w:rPr>
      </w:pPr>
      <w:r w:rsidRPr="00724AE9">
        <w:rPr>
          <w:color w:val="000000" w:themeColor="text1"/>
          <w:sz w:val="26"/>
          <w:szCs w:val="26"/>
          <w:lang w:val="vi-VN"/>
        </w:rPr>
        <w:t xml:space="preserve">Trong đó: </w:t>
      </w:r>
      <w:r w:rsidRPr="00724AE9">
        <w:rPr>
          <w:sz w:val="26"/>
          <w:szCs w:val="26"/>
          <w:lang w:val="vi-VN"/>
        </w:rPr>
        <w:t>M1, M2, M3 là điểm trung bình cộng 03 năm học của các môn học thuộc tổ hợp của ngành đăng ký xét tuyển, được làm tròn đến hai chữ số thập phân (sau dấu phẩy hai số), với M1 là môn chính. Đối với các nhóm tổ hợp xét tuyển có chung môn Toán (bao gồm A00, A01, D01, D07), quy ước M1 là môn Toán.</w:t>
      </w:r>
    </w:p>
    <w:p w14:paraId="6D1C979B" w14:textId="77777777" w:rsidR="00FA64E2" w:rsidRPr="00724AE9" w:rsidRDefault="00FA64E2" w:rsidP="00FA64E2">
      <w:pPr>
        <w:spacing w:line="278" w:lineRule="auto"/>
        <w:ind w:firstLine="426"/>
        <w:jc w:val="both"/>
        <w:rPr>
          <w:sz w:val="26"/>
          <w:szCs w:val="26"/>
          <w:lang w:val="vi-VN"/>
        </w:rPr>
      </w:pPr>
      <w:r w:rsidRPr="00724AE9">
        <w:rPr>
          <w:sz w:val="26"/>
          <w:szCs w:val="26"/>
          <w:lang w:val="vi-VN"/>
        </w:rPr>
        <w:t>- Điểm cộng khuyến khích:</w:t>
      </w:r>
    </w:p>
    <w:p w14:paraId="7CF10B9E" w14:textId="77777777" w:rsidR="00FA64E2" w:rsidRPr="00724AE9" w:rsidRDefault="00FA64E2" w:rsidP="00FA64E2">
      <w:pPr>
        <w:spacing w:line="278" w:lineRule="auto"/>
        <w:ind w:firstLine="720"/>
        <w:jc w:val="both"/>
        <w:rPr>
          <w:spacing w:val="-2"/>
          <w:sz w:val="26"/>
          <w:szCs w:val="26"/>
          <w:lang w:val="vi-VN"/>
        </w:rPr>
      </w:pPr>
      <w:r w:rsidRPr="00724AE9">
        <w:rPr>
          <w:spacing w:val="-2"/>
          <w:sz w:val="26"/>
          <w:szCs w:val="26"/>
          <w:lang w:val="vi-VN"/>
        </w:rPr>
        <w:t xml:space="preserve">+ Nhóm 1: Thí sinh đạt giải khuyến khích trong cuộc thi học sinh giỏi quốc gia được cộng 2,0 điểm; đạt giải Nhất, Nhì, Ba, Khuyến khích trong cuộc thi học sinh giỏi cấp tỉnh/thành phố được cộng tương ứng là 1,5; 1,25; 1,0 và 0,75 điểm </w:t>
      </w:r>
      <w:r w:rsidRPr="00724AE9">
        <w:rPr>
          <w:i/>
          <w:iCs/>
          <w:spacing w:val="-2"/>
          <w:sz w:val="26"/>
          <w:szCs w:val="26"/>
          <w:lang w:val="vi-VN"/>
        </w:rPr>
        <w:t>(các môn đoạt giải được cộng điểm: Toán, Vật lý, Hóa học, Ngữ Văn, Lịch sử, Địa lý, Tiếng Anh, Tin học).</w:t>
      </w:r>
    </w:p>
    <w:p w14:paraId="4657A568" w14:textId="77777777" w:rsidR="00FA64E2" w:rsidRPr="00DA564F" w:rsidRDefault="00FA64E2" w:rsidP="00FA64E2">
      <w:pPr>
        <w:spacing w:line="278" w:lineRule="auto"/>
        <w:ind w:firstLine="720"/>
        <w:jc w:val="both"/>
        <w:rPr>
          <w:sz w:val="26"/>
          <w:szCs w:val="26"/>
          <w:lang w:val="vi-VN"/>
        </w:rPr>
      </w:pPr>
      <w:r w:rsidRPr="00724AE9">
        <w:rPr>
          <w:sz w:val="26"/>
          <w:szCs w:val="26"/>
          <w:lang w:val="vi-VN"/>
        </w:rPr>
        <w:t>+ Nhóm 2: Thí sinh hệ chuyên của trường THPT chuyên: cộng 1,0 điểm</w:t>
      </w:r>
      <w:r w:rsidRPr="00DA564F">
        <w:rPr>
          <w:sz w:val="26"/>
          <w:szCs w:val="26"/>
          <w:lang w:val="vi-VN"/>
        </w:rPr>
        <w:t>.</w:t>
      </w:r>
    </w:p>
    <w:p w14:paraId="2B716E1C" w14:textId="77777777" w:rsidR="00FA64E2" w:rsidRPr="00724AE9" w:rsidRDefault="00FA64E2" w:rsidP="00FA64E2">
      <w:pPr>
        <w:widowControl w:val="0"/>
        <w:spacing w:line="278" w:lineRule="auto"/>
        <w:ind w:left="142" w:firstLine="425"/>
        <w:jc w:val="both"/>
        <w:rPr>
          <w:sz w:val="26"/>
          <w:szCs w:val="26"/>
          <w:lang w:val="vi-VN"/>
        </w:rPr>
      </w:pPr>
      <w:r w:rsidRPr="00724AE9">
        <w:rPr>
          <w:sz w:val="26"/>
          <w:szCs w:val="26"/>
          <w:lang w:val="vi-VN"/>
        </w:rPr>
        <w:t>Một thí sinh có thể thuộc cả hai nhóm cộng khuyến khích khác nhau. Khi đó, điểm cộng khuyến khích sẽ bao gồm tổng điểm của các nhóm mà thí sinh thuộc diện cộng khuyến khích. Với nhóm 1, nếu thí sinh đoạt nhiều giải sẽ chỉ tính một điểm cộng khuyến khích tương ứng với mức giải cao nhất.</w:t>
      </w:r>
    </w:p>
    <w:p w14:paraId="3999EE28" w14:textId="2AC5DDD8" w:rsidR="00FA64E2" w:rsidRPr="00724AE9" w:rsidRDefault="00FA64E2" w:rsidP="00FA64E2">
      <w:pPr>
        <w:widowControl w:val="0"/>
        <w:spacing w:line="290" w:lineRule="auto"/>
        <w:ind w:left="142" w:firstLine="425"/>
        <w:jc w:val="both"/>
        <w:rPr>
          <w:i/>
          <w:sz w:val="26"/>
          <w:szCs w:val="26"/>
          <w:lang w:val="vi-VN"/>
        </w:rPr>
      </w:pPr>
      <w:r w:rsidRPr="00724AE9">
        <w:rPr>
          <w:i/>
          <w:sz w:val="26"/>
          <w:szCs w:val="26"/>
          <w:lang w:val="vi-VN"/>
        </w:rPr>
        <w:t>2.4 Quy trình, thời gian đăng ký và công bố kết quả:</w:t>
      </w:r>
    </w:p>
    <w:p w14:paraId="61524108" w14:textId="77777777" w:rsidR="00FA64E2" w:rsidRPr="008C5A36" w:rsidRDefault="00FA64E2" w:rsidP="00FA64E2">
      <w:pPr>
        <w:widowControl w:val="0"/>
        <w:spacing w:line="290" w:lineRule="auto"/>
        <w:ind w:left="142" w:firstLine="425"/>
        <w:jc w:val="both"/>
        <w:rPr>
          <w:spacing w:val="-6"/>
          <w:sz w:val="26"/>
          <w:szCs w:val="26"/>
          <w:lang w:val="vi-VN"/>
        </w:rPr>
      </w:pPr>
      <w:r w:rsidRPr="008C5A36">
        <w:rPr>
          <w:i/>
          <w:iCs/>
          <w:spacing w:val="-6"/>
          <w:sz w:val="26"/>
          <w:szCs w:val="26"/>
          <w:lang w:val="vi-VN"/>
        </w:rPr>
        <w:t>Quy trình đăng ký</w:t>
      </w:r>
      <w:r w:rsidRPr="008C5A36">
        <w:rPr>
          <w:spacing w:val="-6"/>
          <w:sz w:val="26"/>
          <w:szCs w:val="26"/>
          <w:lang w:val="vi-VN"/>
        </w:rPr>
        <w:t>: Thí sinh phải thực hiện đầy đủ việc đăng ký xét tuyển theo 02 bước:</w:t>
      </w:r>
    </w:p>
    <w:p w14:paraId="2B95BB35" w14:textId="77777777" w:rsidR="00FA64E2" w:rsidRPr="008C5A36" w:rsidRDefault="00FA64E2" w:rsidP="00FA64E2">
      <w:pPr>
        <w:widowControl w:val="0"/>
        <w:spacing w:line="290" w:lineRule="auto"/>
        <w:ind w:left="142" w:firstLine="425"/>
        <w:jc w:val="both"/>
        <w:rPr>
          <w:sz w:val="26"/>
          <w:szCs w:val="26"/>
          <w:lang w:val="vi-VN"/>
        </w:rPr>
      </w:pPr>
      <w:r w:rsidRPr="008C5A36">
        <w:rPr>
          <w:sz w:val="26"/>
          <w:szCs w:val="26"/>
          <w:lang w:val="vi-VN"/>
        </w:rPr>
        <w:t xml:space="preserve">- Bước 1: Đăng ký xét tuyển trên Cổng thông tin tuyển sinh của Học viện, dự kiến từ </w:t>
      </w:r>
      <w:r>
        <w:rPr>
          <w:sz w:val="26"/>
          <w:szCs w:val="26"/>
          <w:lang w:val="vi-VN"/>
        </w:rPr>
        <w:t>05/06/2025</w:t>
      </w:r>
      <w:r w:rsidRPr="008C5A36">
        <w:rPr>
          <w:sz w:val="26"/>
          <w:szCs w:val="26"/>
          <w:lang w:val="vi-VN"/>
        </w:rPr>
        <w:t xml:space="preserve"> đến ngày 15/06/2025 tại địa chỉ: </w:t>
      </w:r>
      <w:hyperlink r:id="rId6" w:history="1">
        <w:r w:rsidRPr="008C5A36">
          <w:rPr>
            <w:rStyle w:val="Hyperlink"/>
            <w:sz w:val="26"/>
            <w:szCs w:val="26"/>
            <w:lang w:val="vi-VN"/>
          </w:rPr>
          <w:t>https://xettuyen.hvnh.edu.vn</w:t>
        </w:r>
      </w:hyperlink>
      <w:r w:rsidRPr="00724AE9">
        <w:rPr>
          <w:sz w:val="26"/>
          <w:szCs w:val="26"/>
          <w:lang w:val="vi-VN"/>
        </w:rPr>
        <w:t xml:space="preserve"> đ</w:t>
      </w:r>
      <w:r w:rsidRPr="008C5A36">
        <w:rPr>
          <w:sz w:val="26"/>
          <w:szCs w:val="26"/>
          <w:lang w:val="vi-VN"/>
        </w:rPr>
        <w:t>ể Nhà trường tiếp nhận, rà soát hồ sơ, tính toán các điểm cộng</w:t>
      </w:r>
      <w:r w:rsidRPr="00724AE9">
        <w:rPr>
          <w:sz w:val="26"/>
          <w:szCs w:val="26"/>
          <w:lang w:val="vi-VN"/>
        </w:rPr>
        <w:t xml:space="preserve"> khuyến khích</w:t>
      </w:r>
      <w:r w:rsidRPr="008C5A36">
        <w:rPr>
          <w:sz w:val="26"/>
          <w:szCs w:val="26"/>
          <w:lang w:val="vi-VN"/>
        </w:rPr>
        <w:t>, điểm ưu tiên và điểm xét của thí sinh theo các phương thức xét tuyển.</w:t>
      </w:r>
    </w:p>
    <w:p w14:paraId="2A3B97ED" w14:textId="77777777" w:rsidR="00FA64E2" w:rsidRPr="008C5A36" w:rsidRDefault="00FA64E2" w:rsidP="00FA64E2">
      <w:pPr>
        <w:widowControl w:val="0"/>
        <w:spacing w:line="290" w:lineRule="auto"/>
        <w:ind w:left="142" w:firstLine="425"/>
        <w:jc w:val="both"/>
        <w:rPr>
          <w:sz w:val="26"/>
          <w:szCs w:val="26"/>
          <w:lang w:val="vi-VN"/>
        </w:rPr>
      </w:pPr>
      <w:r w:rsidRPr="008C5A36">
        <w:rPr>
          <w:sz w:val="26"/>
          <w:szCs w:val="26"/>
          <w:lang w:val="vi-VN"/>
        </w:rPr>
        <w:t>- Bước 2: Đăng ký xét tuyển trên Cổng thông tin tuyển sinh của Bộ Giáo dục và Đào tạo, dự kiến từ 16/07/2025 đến 17h00 ngày 28/07/2025.</w:t>
      </w:r>
    </w:p>
    <w:p w14:paraId="4B40375D" w14:textId="77777777" w:rsidR="00FA64E2" w:rsidRPr="00724AE9" w:rsidRDefault="00FA64E2" w:rsidP="00FA64E2">
      <w:pPr>
        <w:widowControl w:val="0"/>
        <w:spacing w:line="290" w:lineRule="auto"/>
        <w:ind w:left="142" w:firstLine="425"/>
        <w:jc w:val="both"/>
        <w:rPr>
          <w:sz w:val="26"/>
          <w:szCs w:val="26"/>
          <w:lang w:val="vi-VN"/>
        </w:rPr>
      </w:pPr>
      <w:r w:rsidRPr="00724AE9">
        <w:rPr>
          <w:sz w:val="26"/>
          <w:szCs w:val="26"/>
          <w:lang w:val="vi-VN"/>
        </w:rPr>
        <w:tab/>
      </w:r>
      <w:r w:rsidRPr="00724AE9">
        <w:rPr>
          <w:i/>
          <w:iCs/>
          <w:sz w:val="26"/>
          <w:szCs w:val="26"/>
          <w:lang w:val="vi-VN"/>
        </w:rPr>
        <w:t>Thời gian công bố điểm chuẩn kết quả trúng tuyể</w:t>
      </w:r>
      <w:r w:rsidRPr="00724AE9">
        <w:rPr>
          <w:sz w:val="26"/>
          <w:szCs w:val="26"/>
          <w:lang w:val="vi-VN"/>
        </w:rPr>
        <w:t>n: Theo kế hoạch tuyển sinh chung của Bộ GD&amp;ĐT, dự kiến vào ngày 22/8/2025.</w:t>
      </w:r>
    </w:p>
    <w:p w14:paraId="62962F27" w14:textId="77777777" w:rsidR="007407A2" w:rsidRPr="00FA64E2" w:rsidRDefault="007407A2" w:rsidP="00FA64E2">
      <w:pPr>
        <w:rPr>
          <w:lang w:val="vi-VN"/>
        </w:rPr>
      </w:pPr>
    </w:p>
    <w:sectPr w:rsidR="007407A2" w:rsidRPr="00FA64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EE64F" w14:textId="77777777" w:rsidR="00F57ECF" w:rsidRDefault="00F57ECF" w:rsidP="00FA64E2">
      <w:r>
        <w:separator/>
      </w:r>
    </w:p>
  </w:endnote>
  <w:endnote w:type="continuationSeparator" w:id="0">
    <w:p w14:paraId="48611B7A" w14:textId="77777777" w:rsidR="00F57ECF" w:rsidRDefault="00F57ECF" w:rsidP="00FA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C281" w14:textId="77777777" w:rsidR="00F57ECF" w:rsidRDefault="00F57ECF" w:rsidP="00FA64E2">
      <w:r>
        <w:separator/>
      </w:r>
    </w:p>
  </w:footnote>
  <w:footnote w:type="continuationSeparator" w:id="0">
    <w:p w14:paraId="7F56FC71" w14:textId="77777777" w:rsidR="00F57ECF" w:rsidRDefault="00F57ECF" w:rsidP="00FA64E2">
      <w:r>
        <w:continuationSeparator/>
      </w:r>
    </w:p>
  </w:footnote>
  <w:footnote w:id="1">
    <w:p w14:paraId="7998C392" w14:textId="77777777" w:rsidR="00FA64E2" w:rsidRDefault="00FA64E2" w:rsidP="00FA64E2">
      <w:pPr>
        <w:pStyle w:val="FootnoteText"/>
      </w:pPr>
      <w:r>
        <w:rPr>
          <w:rStyle w:val="FootnoteReference"/>
        </w:rPr>
        <w:footnoteRef/>
      </w:r>
      <w:r>
        <w:t xml:space="preserve"> Các tổ hợp tương ứng với từng mã xét tuyển được quy định trong bảng tại mục 4 của </w:t>
      </w:r>
      <w:r>
        <w:rPr>
          <w:lang w:val="vi-VN"/>
        </w:rPr>
        <w:t>Thông tin tuyển sinh</w:t>
      </w:r>
      <w:r>
        <w:t xml:space="preserve">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10"/>
    <w:rsid w:val="002D23AB"/>
    <w:rsid w:val="004C4E38"/>
    <w:rsid w:val="007407A2"/>
    <w:rsid w:val="00877B42"/>
    <w:rsid w:val="00E03110"/>
    <w:rsid w:val="00F57ECF"/>
    <w:rsid w:val="00FA64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F7B2"/>
  <w15:chartTrackingRefBased/>
  <w15:docId w15:val="{EA801785-27D4-41B2-8C71-64B06A43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1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E0311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E0311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E0311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E0311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vi-VN"/>
      <w14:ligatures w14:val="standardContextual"/>
    </w:rPr>
  </w:style>
  <w:style w:type="paragraph" w:styleId="Heading5">
    <w:name w:val="heading 5"/>
    <w:basedOn w:val="Normal"/>
    <w:next w:val="Normal"/>
    <w:link w:val="Heading5Char"/>
    <w:uiPriority w:val="9"/>
    <w:semiHidden/>
    <w:unhideWhenUsed/>
    <w:qFormat/>
    <w:rsid w:val="00E0311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vi-VN"/>
      <w14:ligatures w14:val="standardContextual"/>
    </w:rPr>
  </w:style>
  <w:style w:type="paragraph" w:styleId="Heading6">
    <w:name w:val="heading 6"/>
    <w:basedOn w:val="Normal"/>
    <w:next w:val="Normal"/>
    <w:link w:val="Heading6Char"/>
    <w:uiPriority w:val="9"/>
    <w:semiHidden/>
    <w:unhideWhenUsed/>
    <w:qFormat/>
    <w:rsid w:val="00E0311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14:ligatures w14:val="standardContextual"/>
    </w:rPr>
  </w:style>
  <w:style w:type="paragraph" w:styleId="Heading7">
    <w:name w:val="heading 7"/>
    <w:basedOn w:val="Normal"/>
    <w:next w:val="Normal"/>
    <w:link w:val="Heading7Char"/>
    <w:uiPriority w:val="9"/>
    <w:semiHidden/>
    <w:unhideWhenUsed/>
    <w:qFormat/>
    <w:rsid w:val="00E0311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14:ligatures w14:val="standardContextual"/>
    </w:rPr>
  </w:style>
  <w:style w:type="paragraph" w:styleId="Heading8">
    <w:name w:val="heading 8"/>
    <w:basedOn w:val="Normal"/>
    <w:next w:val="Normal"/>
    <w:link w:val="Heading8Char"/>
    <w:uiPriority w:val="9"/>
    <w:semiHidden/>
    <w:unhideWhenUsed/>
    <w:qFormat/>
    <w:rsid w:val="00E0311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14:ligatures w14:val="standardContextual"/>
    </w:rPr>
  </w:style>
  <w:style w:type="paragraph" w:styleId="Heading9">
    <w:name w:val="heading 9"/>
    <w:basedOn w:val="Normal"/>
    <w:next w:val="Normal"/>
    <w:link w:val="Heading9Char"/>
    <w:uiPriority w:val="9"/>
    <w:semiHidden/>
    <w:unhideWhenUsed/>
    <w:qFormat/>
    <w:rsid w:val="00E0311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1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31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31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31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31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3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110"/>
    <w:rPr>
      <w:rFonts w:eastAsiaTheme="majorEastAsia" w:cstheme="majorBidi"/>
      <w:color w:val="272727" w:themeColor="text1" w:themeTint="D8"/>
    </w:rPr>
  </w:style>
  <w:style w:type="paragraph" w:styleId="Title">
    <w:name w:val="Title"/>
    <w:basedOn w:val="Normal"/>
    <w:next w:val="Normal"/>
    <w:link w:val="TitleChar"/>
    <w:uiPriority w:val="10"/>
    <w:qFormat/>
    <w:rsid w:val="00E03110"/>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E03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11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E03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11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14:ligatures w14:val="standardContextual"/>
    </w:rPr>
  </w:style>
  <w:style w:type="character" w:customStyle="1" w:styleId="QuoteChar">
    <w:name w:val="Quote Char"/>
    <w:basedOn w:val="DefaultParagraphFont"/>
    <w:link w:val="Quote"/>
    <w:uiPriority w:val="29"/>
    <w:rsid w:val="00E03110"/>
    <w:rPr>
      <w:i/>
      <w:iCs/>
      <w:color w:val="404040" w:themeColor="text1" w:themeTint="BF"/>
    </w:rPr>
  </w:style>
  <w:style w:type="paragraph" w:styleId="ListParagraph">
    <w:name w:val="List Paragraph"/>
    <w:basedOn w:val="Normal"/>
    <w:uiPriority w:val="34"/>
    <w:qFormat/>
    <w:rsid w:val="00E03110"/>
    <w:pPr>
      <w:spacing w:after="160" w:line="259" w:lineRule="auto"/>
      <w:ind w:left="720"/>
      <w:contextualSpacing/>
    </w:pPr>
    <w:rPr>
      <w:rFonts w:asciiTheme="minorHAnsi" w:eastAsiaTheme="minorHAnsi" w:hAnsiTheme="minorHAnsi" w:cstheme="minorBidi"/>
      <w:kern w:val="2"/>
      <w:sz w:val="22"/>
      <w:szCs w:val="22"/>
      <w:lang w:val="vi-VN"/>
      <w14:ligatures w14:val="standardContextual"/>
    </w:rPr>
  </w:style>
  <w:style w:type="character" w:styleId="IntenseEmphasis">
    <w:name w:val="Intense Emphasis"/>
    <w:basedOn w:val="DefaultParagraphFont"/>
    <w:uiPriority w:val="21"/>
    <w:qFormat/>
    <w:rsid w:val="00E03110"/>
    <w:rPr>
      <w:i/>
      <w:iCs/>
      <w:color w:val="2F5496" w:themeColor="accent1" w:themeShade="BF"/>
    </w:rPr>
  </w:style>
  <w:style w:type="paragraph" w:styleId="IntenseQuote">
    <w:name w:val="Intense Quote"/>
    <w:basedOn w:val="Normal"/>
    <w:next w:val="Normal"/>
    <w:link w:val="IntenseQuoteChar"/>
    <w:uiPriority w:val="30"/>
    <w:qFormat/>
    <w:rsid w:val="00E0311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vi-VN"/>
      <w14:ligatures w14:val="standardContextual"/>
    </w:rPr>
  </w:style>
  <w:style w:type="character" w:customStyle="1" w:styleId="IntenseQuoteChar">
    <w:name w:val="Intense Quote Char"/>
    <w:basedOn w:val="DefaultParagraphFont"/>
    <w:link w:val="IntenseQuote"/>
    <w:uiPriority w:val="30"/>
    <w:rsid w:val="00E03110"/>
    <w:rPr>
      <w:i/>
      <w:iCs/>
      <w:color w:val="2F5496" w:themeColor="accent1" w:themeShade="BF"/>
    </w:rPr>
  </w:style>
  <w:style w:type="character" w:styleId="IntenseReference">
    <w:name w:val="Intense Reference"/>
    <w:basedOn w:val="DefaultParagraphFont"/>
    <w:uiPriority w:val="32"/>
    <w:qFormat/>
    <w:rsid w:val="00E03110"/>
    <w:rPr>
      <w:b/>
      <w:bCs/>
      <w:smallCaps/>
      <w:color w:val="2F5496" w:themeColor="accent1" w:themeShade="BF"/>
      <w:spacing w:val="5"/>
    </w:rPr>
  </w:style>
  <w:style w:type="character" w:styleId="Hyperlink">
    <w:name w:val="Hyperlink"/>
    <w:uiPriority w:val="99"/>
    <w:rsid w:val="00E03110"/>
    <w:rPr>
      <w:color w:val="0000FF"/>
      <w:u w:val="single"/>
    </w:rPr>
  </w:style>
  <w:style w:type="paragraph" w:styleId="BodyText">
    <w:name w:val="Body Text"/>
    <w:basedOn w:val="Normal"/>
    <w:link w:val="BodyTextChar"/>
    <w:uiPriority w:val="1"/>
    <w:unhideWhenUsed/>
    <w:qFormat/>
    <w:rsid w:val="00E03110"/>
    <w:pPr>
      <w:spacing w:before="60" w:after="60" w:line="264" w:lineRule="auto"/>
      <w:ind w:firstLine="720"/>
      <w:jc w:val="both"/>
    </w:pPr>
    <w:rPr>
      <w:sz w:val="28"/>
    </w:rPr>
  </w:style>
  <w:style w:type="character" w:customStyle="1" w:styleId="BodyTextChar">
    <w:name w:val="Body Text Char"/>
    <w:basedOn w:val="DefaultParagraphFont"/>
    <w:link w:val="BodyText"/>
    <w:uiPriority w:val="1"/>
    <w:rsid w:val="00E03110"/>
    <w:rPr>
      <w:rFonts w:ascii="Times New Roman" w:eastAsia="Times New Roman" w:hAnsi="Times New Roman" w:cs="Times New Roman"/>
      <w:kern w:val="0"/>
      <w:sz w:val="28"/>
      <w:szCs w:val="24"/>
      <w:lang w:val="en-US"/>
      <w14:ligatures w14:val="none"/>
    </w:rPr>
  </w:style>
  <w:style w:type="paragraph" w:styleId="FootnoteText">
    <w:name w:val="footnote text"/>
    <w:basedOn w:val="Normal"/>
    <w:link w:val="FootnoteTextChar"/>
    <w:semiHidden/>
    <w:unhideWhenUsed/>
    <w:rsid w:val="00FA64E2"/>
    <w:rPr>
      <w:sz w:val="20"/>
      <w:szCs w:val="20"/>
    </w:rPr>
  </w:style>
  <w:style w:type="character" w:customStyle="1" w:styleId="FootnoteTextChar">
    <w:name w:val="Footnote Text Char"/>
    <w:basedOn w:val="DefaultParagraphFont"/>
    <w:link w:val="FootnoteText"/>
    <w:semiHidden/>
    <w:rsid w:val="00FA64E2"/>
    <w:rPr>
      <w:rFonts w:ascii="Times New Roman" w:eastAsia="Times New Roman" w:hAnsi="Times New Roman" w:cs="Times New Roman"/>
      <w:kern w:val="0"/>
      <w:sz w:val="20"/>
      <w:szCs w:val="20"/>
      <w:lang w:val="en-US"/>
      <w14:ligatures w14:val="none"/>
    </w:rPr>
  </w:style>
  <w:style w:type="character" w:styleId="FootnoteReference">
    <w:name w:val="footnote reference"/>
    <w:semiHidden/>
    <w:unhideWhenUsed/>
    <w:rsid w:val="00FA6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ettuyen.hvnh.edu.v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2025-05-20T11:00:00Z</dcterms:created>
  <dcterms:modified xsi:type="dcterms:W3CDTF">2025-05-20T11:00:00Z</dcterms:modified>
</cp:coreProperties>
</file>